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bottomFromText="0" w:horzAnchor="margin" w:leftFromText="180" w:rightFromText="180" w:tblpX="0" w:tblpY="323" w:topFromText="0" w:vertAnchor="text"/>
        <w:tblW w:w="9570" w:type="dxa"/>
        <w:jc w:val="left"/>
        <w:tblInd w:w="113" w:type="dxa"/>
        <w:tblLayout w:type="fixed"/>
        <w:tblCellMar>
          <w:top w:w="0" w:type="dxa"/>
          <w:left w:w="113" w:type="dxa"/>
          <w:bottom w:w="0" w:type="dxa"/>
          <w:right w:w="108" w:type="dxa"/>
        </w:tblCellMar>
        <w:tblLook w:val="04a0"/>
      </w:tblPr>
      <w:tblGrid>
        <w:gridCol w:w="778"/>
        <w:gridCol w:w="794"/>
        <w:gridCol w:w="1566"/>
        <w:gridCol w:w="3293"/>
        <w:gridCol w:w="1562"/>
        <w:gridCol w:w="1576"/>
      </w:tblGrid>
      <w:tr>
        <w:trPr/>
        <w:tc>
          <w:tcPr>
            <w:tcW w:w="3138" w:type="dxa"/>
            <w:gridSpan w:val="3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val="en-US" w:eastAsia="en-US"/>
              </w:rPr>
            </w:pPr>
            <w:r>
              <w:rPr>
                <w:rFonts w:eastAsia="" w:eastAsiaTheme="minorEastAsia"/>
                <w:b/>
                <w:sz w:val="32"/>
                <w:szCs w:val="32"/>
                <w:lang w:val="en-US" w:eastAsia="en-US"/>
              </w:rPr>
            </w:r>
          </w:p>
        </w:tc>
        <w:tc>
          <w:tcPr>
            <w:tcW w:w="3293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val="en-US" w:eastAsia="en-US"/>
              </w:rPr>
            </w:pPr>
            <w:r>
              <w:rPr/>
              <w:drawing>
                <wp:inline distT="0" distB="0" distL="0" distR="0">
                  <wp:extent cx="847725" cy="1028700"/>
                  <wp:effectExtent l="0" t="0" r="0" b="0"/>
                  <wp:docPr id="1" name="Рисунок 9" descr="герб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9" descr="герб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grayscl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8" w:type="dxa"/>
            <w:gridSpan w:val="2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569" w:type="dxa"/>
            <w:gridSpan w:val="6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 САВИНСКОГО  МУНИЦИПАЛЬНОГО  РАЙОНА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ИВАНОВСКОЙ  ОБЛАСТИ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rFonts w:eastAsia="" w:eastAsiaTheme="minorEastAsia"/>
                <w:b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778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eastAsia="en-US"/>
              </w:rPr>
            </w:pPr>
            <w:r>
              <w:rPr>
                <w:rFonts w:eastAsia="" w:eastAsiaTheme="minorEastAsia"/>
                <w:b/>
                <w:sz w:val="32"/>
                <w:szCs w:val="32"/>
                <w:lang w:eastAsia="en-US"/>
              </w:rPr>
            </w:r>
          </w:p>
        </w:tc>
        <w:tc>
          <w:tcPr>
            <w:tcW w:w="794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eastAsia="en-US"/>
              </w:rPr>
            </w:pPr>
            <w:r>
              <w:rPr>
                <w:rFonts w:eastAsia="" w:eastAsiaTheme="minorEastAsia"/>
                <w:b/>
                <w:sz w:val="32"/>
                <w:szCs w:val="32"/>
                <w:lang w:eastAsia="en-US"/>
              </w:rPr>
            </w:r>
          </w:p>
        </w:tc>
        <w:tc>
          <w:tcPr>
            <w:tcW w:w="6421" w:type="dxa"/>
            <w:gridSpan w:val="3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ПОСТАНОВЛЕНИЕ</w:t>
            </w:r>
          </w:p>
        </w:tc>
        <w:tc>
          <w:tcPr>
            <w:tcW w:w="157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>
          <w:rFonts w:eastAsia="" w:eastAsiaTheme="minorEastAsia"/>
          <w:b/>
          <w:b/>
          <w:sz w:val="32"/>
          <w:szCs w:val="32"/>
          <w:lang w:eastAsia="ar-SA"/>
        </w:rPr>
      </w:pPr>
      <w:r>
        <w:rPr>
          <w:rFonts w:eastAsia="" w:eastAsiaTheme="minorEastAsia"/>
          <w:b/>
          <w:sz w:val="32"/>
          <w:szCs w:val="32"/>
          <w:lang w:eastAsia="ar-SA"/>
        </w:rPr>
      </w:r>
    </w:p>
    <w:tbl>
      <w:tblPr>
        <w:tblW w:w="4995" w:type="dxa"/>
        <w:jc w:val="center"/>
        <w:tblInd w:w="0" w:type="dxa"/>
        <w:tblLayout w:type="fixed"/>
        <w:tblCellMar>
          <w:top w:w="0" w:type="dxa"/>
          <w:left w:w="113" w:type="dxa"/>
          <w:bottom w:w="0" w:type="dxa"/>
          <w:right w:w="108" w:type="dxa"/>
        </w:tblCellMar>
        <w:tblLook w:val="04a0"/>
      </w:tblPr>
      <w:tblGrid>
        <w:gridCol w:w="4995"/>
      </w:tblGrid>
      <w:tr>
        <w:trPr>
          <w:trHeight w:val="71" w:hRule="atLeast"/>
        </w:trPr>
        <w:tc>
          <w:tcPr>
            <w:tcW w:w="4995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>от 21.07.2026  № 469-п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п. Савино</w:t>
            </w:r>
          </w:p>
        </w:tc>
      </w:tr>
    </w:tbl>
    <w:p>
      <w:pPr>
        <w:pStyle w:val="Normal"/>
        <w:widowControl w:val="false"/>
        <w:jc w:val="center"/>
        <w:rPr>
          <w:rFonts w:eastAsia="" w:eastAsiaTheme="minorEastAsia"/>
          <w:sz w:val="28"/>
          <w:szCs w:val="28"/>
          <w:lang w:eastAsia="ar-SA"/>
        </w:rPr>
      </w:pPr>
      <w:r>
        <w:rPr>
          <w:rFonts w:eastAsia="" w:eastAsiaTheme="minorEastAsia"/>
          <w:sz w:val="28"/>
          <w:szCs w:val="28"/>
          <w:lang w:eastAsia="ar-SA"/>
        </w:rPr>
      </w:r>
    </w:p>
    <w:p>
      <w:pPr>
        <w:pStyle w:val="Normal"/>
        <w:widowControl w:val="false"/>
        <w:jc w:val="center"/>
        <w:rPr/>
      </w:pPr>
      <w:r>
        <w:rPr>
          <w:rFonts w:eastAsia="" w:eastAsiaTheme="minorEastAsia"/>
          <w:b/>
          <w:bCs/>
          <w:sz w:val="28"/>
          <w:szCs w:val="28"/>
          <w:lang w:eastAsia="ar-SA"/>
        </w:rPr>
        <w:t>О внесении изменений в постановление администрации</w:t>
      </w:r>
    </w:p>
    <w:p>
      <w:pPr>
        <w:pStyle w:val="Normal"/>
        <w:widowControl w:val="false"/>
        <w:jc w:val="center"/>
        <w:rPr/>
      </w:pPr>
      <w:r>
        <w:rPr>
          <w:rFonts w:eastAsia="" w:eastAsiaTheme="minorEastAsia"/>
          <w:b/>
          <w:bCs/>
          <w:sz w:val="28"/>
          <w:szCs w:val="28"/>
          <w:lang w:eastAsia="ar-SA"/>
        </w:rPr>
        <w:t xml:space="preserve">Савинского муниципального района от 30.11.2022 № 791-п </w:t>
      </w:r>
      <w:r>
        <w:rPr>
          <w:b/>
          <w:sz w:val="28"/>
          <w:szCs w:val="28"/>
        </w:rPr>
        <w:t>«Об утверждении Положения о порядке оказания платных услуг Муниципальным казённым учреждением</w:t>
      </w:r>
    </w:p>
    <w:p>
      <w:pPr>
        <w:pStyle w:val="Normal"/>
        <w:widowControl w:val="false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«Центральная библиотека»</w:t>
      </w:r>
    </w:p>
    <w:p>
      <w:pPr>
        <w:pStyle w:val="Normal"/>
        <w:widowControl w:val="false"/>
        <w:jc w:val="center"/>
        <w:rPr/>
      </w:pPr>
      <w:r>
        <w:rPr/>
      </w:r>
    </w:p>
    <w:p>
      <w:pPr>
        <w:pStyle w:val="Normal"/>
        <w:widowControl w:val="false"/>
        <w:jc w:val="both"/>
        <w:rPr>
          <w:sz w:val="10"/>
          <w:szCs w:val="16"/>
        </w:rPr>
      </w:pPr>
      <w:r>
        <w:rPr>
          <w:sz w:val="10"/>
          <w:szCs w:val="16"/>
        </w:rPr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09.10.1992 № 3612-1 «Основы законодательства РФ о культуре», Федеральным законом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Федерации», в соответствии с письмом  Министерства культуры РФ №776-01.1-39@-ЖА от 23.10.2025,  в целях расширения доступности и модернизации культурного обслуживания населения, наиболее полного удовлетворения культурных потребностей населения, повышения качества оказываемых услуг,  администрация Савинского  муниципального  района </w:t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 о с т а н о в л я е т: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1. Внести изменения в постановление администрации Савинского муниципального района от 30.11.2022 № 791-п «Об утверждении Положения о порядке оказания платных услуг Муниципальным казённым учреждением «Центральная библиотека»:</w:t>
      </w:r>
    </w:p>
    <w:p>
      <w:pPr>
        <w:pStyle w:val="ConsPlusNormal"/>
        <w:widowControl/>
        <w:ind w:hanging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eastAsia="hi-IN" w:bidi="hi-IN"/>
        </w:rPr>
        <w:t xml:space="preserve">       </w:t>
      </w: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eastAsia="hi-IN" w:bidi="hi-IN"/>
        </w:rPr>
        <w:t>1.1. пункт 6.2. раздела 6</w:t>
      </w: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val="en-US" w:eastAsia="hi-IN" w:bidi="hi-IN"/>
        </w:rPr>
        <w:t xml:space="preserve">. </w:t>
      </w: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eastAsia="hi-IN" w:bidi="hi-IN"/>
        </w:rPr>
        <w:t>изложить в следующей редакции:</w:t>
      </w:r>
    </w:p>
    <w:p>
      <w:pPr>
        <w:pStyle w:val="ConsPlusNormal"/>
        <w:widowControl/>
        <w:ind w:hanging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eastAsia="hi-IN" w:bidi="hi-IN"/>
        </w:rPr>
        <w:t>«6.2. При организации платных мероприятий библиотека устанавливает бесплатное посещение следующим категориям потребителей (при предъявлении подтверждающих документов):</w:t>
      </w:r>
    </w:p>
    <w:p>
      <w:pPr>
        <w:pStyle w:val="Normal"/>
        <w:jc w:val="both"/>
        <w:rPr/>
      </w:pPr>
      <w:r>
        <w:rPr>
          <w:sz w:val="28"/>
          <w:szCs w:val="28"/>
        </w:rPr>
        <w:t>1) ветеранам и инвалидам Великой Отечественной войны, труженикам тыла, ветеранам и инвалидам локальных войн;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2) многодетным семьям;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3) инвалидам;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4) детям до 3-х лет;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5) детям - сиротам и детям, оставшимся без попечения родителей;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6) детям - инвалидам;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лицам, принимающим (принимавших) участие в специальной военной операции (далее - СВО), и другим категориям лиц: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а) лицам, принимающим (принимавшим) участие (содействующим (содействовавшим) выполнению задач) в СВО;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б) лицам, выполняющим (выполнявшим) задачи по отражению вооружённого вторжения на территорию Российской Федерации (далее - вооружённое вторжение), в ходе вооружённой провокации на государственной границе Российской Федерации и территориях субъектов Российской Федерации, прилегающих к районам проведения СВО (далее - вооружённая провокация);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Вооружённых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>
      <w:pPr>
        <w:pStyle w:val="Normal"/>
        <w:widowControl/>
        <w:ind w:hanging="0"/>
        <w:jc w:val="both"/>
        <w:rPr/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г)</w:t>
      </w:r>
      <w:bookmarkStart w:id="0" w:name="14"/>
      <w:bookmarkEnd w:id="0"/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 xml:space="preserve">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ru-RU" w:bidi="hi-IN"/>
        </w:rPr>
        <w:t xml:space="preserve">членам семей лиц, названных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eastAsia="ru-RU" w:bidi="hi-IN"/>
        </w:rPr>
        <w:t>в под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fldChar w:fldCharType="separate"/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val="ru-RU" w:eastAsia="ru-RU" w:bidi="hi-IN"/>
        </w:rPr>
        <w:t>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fldChar w:fldCharType="end"/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val="ru-RU" w:eastAsia="ru-RU" w:bidi="hi-IN"/>
        </w:rPr>
        <w:t>а"-"в" настоящего пункта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ru-RU" w:bidi="hi-IN"/>
        </w:rPr>
        <w:t>, в том числе погибших (умерших)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СВО,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СВО, выполнением указанных задач (далее - члены семей).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6.2.1. Членами семьи признаются: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1" w:name="21"/>
      <w:bookmarkEnd w:id="1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а) супруг (супруга);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bookmarkStart w:id="2" w:name="22"/>
      <w:bookmarkEnd w:id="2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б) дети, не достигшие возраста 18 лет, в том числе которые рождены после гибели (смерти) лиц, названных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separate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end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а"-"в" пункта 7 настоящего раздела,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и в отношении которых отцовство установлено в соответствии с пунктом 2 статьи 48 Семейного кодекса Российской Федерации;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3" w:name="23"/>
      <w:bookmarkEnd w:id="3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в) дети старше 18 лет, ставшие инвалидами до достижения ими возраста 18 лет;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4" w:name="24"/>
      <w:bookmarkEnd w:id="4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bookmarkStart w:id="5" w:name="25"/>
      <w:bookmarkEnd w:id="5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д) родители, проживающие совместно с лицами, названными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separate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end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а"-"в" пункта 7 настоящего раздела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либо проживавшие совместно с этими лицами на дату их гибели (смерти);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bookmarkStart w:id="6" w:name="26"/>
      <w:bookmarkEnd w:id="6"/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е) лица, находящиеся на иждивении лиц, названных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rFonts w:cs="Times New Roman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rFonts w:cs="Times New Roman"/>
          <w:color w:val="000000"/>
          <w:lang w:val="ru-RU"/>
        </w:rPr>
        <w:fldChar w:fldCharType="separate"/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rFonts w:cs="Times New Roman"/>
          <w:color w:val="000000"/>
          <w:lang w:val="ru-RU"/>
        </w:rPr>
        <w:fldChar w:fldCharType="end"/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а"-"в" пункта 7 настоящего раздела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либо находившиеся на иждивении этих лиц на дату их гибели (смерти).».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1.2. пункт 6.2. раздела 6. дополнить подпунктом 6.2.2. следующего содержания: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«6.2.2. </w:t>
      </w:r>
      <w:r>
        <w:rPr>
          <w:sz w:val="28"/>
          <w:szCs w:val="28"/>
        </w:rPr>
        <w:t xml:space="preserve"> 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>Бесплатное посещение мероприятий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лицами, названными в подпункте 7 пункта 6.2. настоящего раздела, осуществляется при предъявлении участником СВО и (или) членом его семьи следующих документов, подтверждающих участие в СВО: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а) справка о подтверждении факта участия в СВО</w:t>
      </w:r>
      <w:r>
        <w:rPr>
          <w:rFonts w:ascii="Times New Roman;serif" w:hAnsi="Times New Roman;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области, выдаваемая федеральными органами исполнительной власти, федеральными государственными органами в утверждаемом ими порядке (постановление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области»);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б) выписка из приказа военного комиссариата о призыве на военную службу по мобилизации в Вооружённые Силы Российской Федерации;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в) уведомление федерального органа исполнительной власти о заключении с лицом контракта о прохождении военной службы в соответствии с пунктом 7 статьи 38 Федерального закона от 28 марта 1998 года № 53-ФЗ «О воинской обязанности и военной службе»;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г) контракт (копия контракта), заключённый в соответствии с пунктом 7 статьи 38 Федерального закона от 28 марта 1998 года № 53-ФЗ «О воинской обязанности и военной службе»;</w:t>
      </w:r>
    </w:p>
    <w:p>
      <w:pPr>
        <w:pStyle w:val="Normal"/>
        <w:spacing w:lineRule="auto" w:line="240" w:before="0" w:after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д) контракт (копия контракта) о пребывании в добровольческих формированиях, предусмотренных Федеральн</w:t>
      </w:r>
      <w:r>
        <w:rPr>
          <w:b w:val="false"/>
          <w:bCs w:val="false"/>
          <w:color w:val="000000"/>
          <w:sz w:val="28"/>
          <w:szCs w:val="28"/>
          <w:u w:val="none"/>
        </w:rPr>
        <w:t xml:space="preserve">ым </w:t>
      </w:r>
      <w:hyperlink r:id="rId3">
        <w:r>
          <w:rPr>
            <w:rFonts w:cs="Symbol"/>
            <w:b w:val="false"/>
            <w:bCs w:val="false"/>
            <w:color w:val="000000"/>
            <w:sz w:val="28"/>
            <w:szCs w:val="28"/>
            <w:u w:val="none"/>
          </w:rPr>
          <w:t>законом</w:t>
        </w:r>
      </w:hyperlink>
      <w:r>
        <w:rPr>
          <w:b w:val="false"/>
          <w:bCs w:val="false"/>
          <w:color w:val="000000"/>
          <w:sz w:val="28"/>
          <w:szCs w:val="28"/>
          <w:u w:val="none"/>
        </w:rPr>
        <w:t xml:space="preserve"> от 3</w:t>
      </w:r>
      <w:r>
        <w:rPr>
          <w:b w:val="false"/>
          <w:bCs w:val="false"/>
          <w:color w:val="000000"/>
          <w:sz w:val="28"/>
          <w:szCs w:val="28"/>
        </w:rPr>
        <w:t>1 мая 1996 г. № 61-ФЗ "Об обороне";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е) контракт (копия контракта) о прохождении военной службы гражданином в Вооружённых Силах Российской Федерации, подтверждающий даты или периоды участия гражданина в СВО;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ж) запись в военном билете;</w:t>
      </w:r>
    </w:p>
    <w:p>
      <w:pPr>
        <w:pStyle w:val="Normal"/>
        <w:spacing w:lineRule="auto" w:line="240" w:before="0" w:after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з) соглашения (документы, подтверждающие иные правоотношения) с Министерством обороны Российской Федерации, контракты (документы, подтверждающие иные правоотношения) с организациями, содействующими выполнению</w:t>
      </w:r>
      <w:r>
        <w:rPr>
          <w:b w:val="false"/>
          <w:bCs w:val="false"/>
          <w:color w:val="000000"/>
          <w:sz w:val="28"/>
          <w:szCs w:val="28"/>
          <w:u w:val="none"/>
        </w:rPr>
        <w:t xml:space="preserve"> задач, возложенных на Вооружённые Силы Российской Федерации, на основании документов, выдаваемых: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  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- федеральными государственными органами - в отношении лиц, названных в </w:t>
      </w:r>
      <w:hyperlink w:anchor="Par15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  <w:u w:val="none"/>
          </w:rPr>
          <w:t>подпунктах "а"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 и </w:t>
      </w:r>
      <w:hyperlink w:anchor="Par16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  <w:u w:val="none"/>
          </w:rPr>
          <w:t xml:space="preserve">"б" пункта 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>7 раздела 6.2.;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- 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ar17">
        <w:r>
          <w:rPr>
            <w:rFonts w:cs="Times New Roman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8"/>
            <w:szCs w:val="28"/>
            <w:u w:val="none"/>
          </w:rPr>
          <w:t xml:space="preserve">подпункте "в" пункта </w:t>
        </w:r>
      </w:hyperlink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7 раздела 6.2.».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1.3. пункт 6.2. раздела 6. дополнить подпунктом 6.2.3. следующего содержания:</w:t>
      </w:r>
    </w:p>
    <w:p>
      <w:pPr>
        <w:pStyle w:val="Normal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«6.2.3. Документы, указанные в подпункте 6.2.2. пункта 6.2. настоящего раздела, могут представляться: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в виде оригиналов или нотариально заверенных копий;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в виде электронного документа, сформированного с помощью мобильного приложения «Госуслуги»;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«Цифрового ID», содержащего подтверждённый льготный статус лица, через мобильное приложение «Цифровая платформа MAX».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- с использованием сервиса подтверждения статуса участника СВО (QR-кода) в Федеральной государственной информационной системе «Единый портал государственных и муниципальных услуг (функций)» в случае, если сведения о нём содержатся в витрине данных Министерства обороны Российской Федерации.».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 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1.4. пункт 6.2. раздела 6. дополнить подпунктом 6.2.4. следующего содержания: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«6.2.4. Мера поддержки участникам СВО и членам их семей по предоставлению льгот при посещении библиотеки предоставляется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none"/>
          <w:em w:val="none"/>
        </w:rPr>
        <w:t xml:space="preserve"> на срок не менее чем до конца года, следующего за годом завершения специальной военной операции, а лицам, названным в </w:t>
      </w:r>
      <w:hyperlink w:anchor="Par15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sz w:val="28"/>
            <w:szCs w:val="28"/>
            <w:u w:val="none"/>
            <w:em w:val="none"/>
          </w:rPr>
          <w:t>подпунктах "а"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none"/>
          <w:em w:val="none"/>
        </w:rPr>
        <w:t>-</w:t>
      </w:r>
      <w:hyperlink w:anchor="Par17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sz w:val="28"/>
            <w:szCs w:val="28"/>
            <w:u w:val="none"/>
            <w:em w:val="none"/>
          </w:rPr>
          <w:t xml:space="preserve">"в" пункта 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none"/>
          <w:em w:val="none"/>
        </w:rPr>
        <w:t xml:space="preserve">7. настоящего раздела,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вооружённого вторжения, в ходе вооружённой провокации, в ходе боевых действий, членам их семей и членам семей лиц, названных в </w:t>
      </w:r>
      <w:hyperlink w:anchor="Par15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sz w:val="28"/>
            <w:szCs w:val="28"/>
            <w:u w:val="none"/>
            <w:em w:val="none"/>
          </w:rPr>
          <w:t>подпунктах "а"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none"/>
          <w:em w:val="none"/>
        </w:rPr>
        <w:t>-</w:t>
      </w:r>
      <w:hyperlink w:anchor="Par17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sz w:val="28"/>
            <w:szCs w:val="28"/>
            <w:u w:val="none"/>
            <w:em w:val="none"/>
          </w:rPr>
          <w:t xml:space="preserve">"в" пункта 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none"/>
          <w:em w:val="none"/>
        </w:rPr>
        <w:t>7. настоящего раздела, погибших (умерших) в связи с участием в СВО, выполнением указанных задач, - бессрочно.».</w:t>
      </w:r>
    </w:p>
    <w:p>
      <w:pPr>
        <w:pStyle w:val="Normal"/>
        <w:widowControl w:val="false"/>
        <w:jc w:val="both"/>
        <w:rPr>
          <w:b/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2. Разместить настоящее постановление на официальном сайте Савинского муниципального района в информационно - телекоммуникационной сети «Интернет».</w:t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eastAsia="SimSun" w:cs="Times New Roman"/>
          <w:kern w:val="2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 xml:space="preserve">    </w:t>
      </w: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>3. Настоящее постановление вступает в силу со дня его принятия.</w:t>
      </w:r>
    </w:p>
    <w:p>
      <w:pPr>
        <w:pStyle w:val="ListParagraph"/>
        <w:widowControl w:val="false"/>
        <w:suppressAutoHyphens w:val="false"/>
        <w:ind w:left="0" w:hanging="0"/>
        <w:jc w:val="both"/>
        <w:rPr/>
      </w:pP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по социальным вопросам С.Н. Желобанову.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Савинского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                                                              И.М. Саякина</w:t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Tekstvpr"/>
        <w:shd w:val="clear" w:color="auto" w:fill="FFFFFF"/>
        <w:spacing w:lineRule="atLeast" w:line="240" w:beforeAutospacing="0" w:before="0" w:afterAutospacing="0" w:after="0"/>
        <w:jc w:val="right"/>
        <w:rPr>
          <w:color w:val="000000"/>
          <w:sz w:val="22"/>
          <w:szCs w:val="18"/>
        </w:rPr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701" w:right="850" w:gutter="0" w:header="0" w:top="1134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Georg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altName w:val="serif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ind w:right="360" w:hanging="0"/>
      <w:rPr/>
    </w:pPr>
    <w:r>
      <w:rPr/>
      <w:pict>
        <v:shape id="shape_0" coordsize="4902,4909" path="m4901,4908l0,4908l0,0l4901,0l4901,4908e" fillcolor="white" stroked="f" o:allowincell="f" style="position:absolute;margin-left:1312.5pt;margin-top:-140.25pt;width:138.85pt;height:139.1pt;mso-wrap-style:none;v-text-anchor:middle;mso-position-horizontal:right;mso-position-horizontal-relative:margin">
          <v:fill o:detectmouseclick="t" type="solid" color2="black" opacity="0"/>
          <v:stroke color="#3465a4" joinstyle="round" endcap="flat"/>
          <w10:wrap type="none"/>
        </v:shape>
      </w:pict>
      <w:pict>
        <v:shape id="shape_0" coordsize="4902,4909" path="m4901,4908l0,4908l0,0l4901,0l4901,4908e" fillcolor="white" stroked="f" o:allowincell="f" style="position:absolute;margin-left:1312.5pt;margin-top:-140.25pt;width:138.85pt;height:139.1pt;mso-wrap-style:none;v-text-anchor:middle;mso-position-horizontal:right;mso-position-horizontal-relative:margin">
          <v:fill o:detectmouseclick="t" type="solid" color2="black" opacity="0"/>
          <v:stroke color="#3465a4" joinstyle="round" endcap="flat"/>
          <w10:wrap type="none"/>
        </v:shape>
      </w:pic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ind w:right="360" w:hanging="0"/>
      <w:rPr/>
    </w:pPr>
    <w:r>
      <w:rPr/>
      <w:pict>
        <v:shape id="shape_0" coordsize="11746,4279" path="m11745,0l11745,4278l0,4278l0,0e" stroked="f" o:allowincell="f" style="position:absolute;margin-left:125.8pt;margin-top:-1857.45pt;width:332.85pt;height:121.25pt;mso-position-horizontal:right;mso-position-horizontal-relative:margin">
          <v:stroke color="#3465a4" joinstyle="round" endcap="flat"/>
          <v:fill o:detectmouseclick="t" on="false"/>
          <w10:wrap type="none"/>
        </v:shape>
      </w:pic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ind w:right="360" w:hanging="0"/>
      <w:rPr/>
    </w:pPr>
    <w:r>
      <w:rPr/>
      <w:pict>
        <v:shape id="shape_0" coordsize="11746,4279" path="m11745,0l11745,4278l0,4278l0,0e" stroked="f" o:allowincell="f" style="position:absolute;margin-left:125.8pt;margin-top:-1857.45pt;width:332.85pt;height:121.25pt;mso-position-horizontal:right;mso-position-horizontal-relative:margin">
          <v:stroke color="#3465a4" joinstyle="round" endcap="flat"/>
          <v:fill o:detectmouseclick="t" on="false"/>
          <w10:wrap type="none"/>
        </v:shape>
      </w:pict>
    </w:r>
  </w:p>
</w:ftr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semiHidden="0" w:unhideWhenUsed="0" w:qFormat="1"/>
    <w:lsdException w:name="caption" w:uiPriority="35" w:qFormat="1"/>
    <w:lsdException w:name="page number" w:uiPriority="0" w:semiHidden="0" w:unhideWhenUsed="0" w:qFormat="1"/>
    <w:lsdException w:name="Title" w:uiPriority="10" w:semiHidden="0" w:unhideWhenUsed="0" w:qFormat="1"/>
    <w:lsdException w:name="Default Paragraph Font" w:uiPriority="1" w:qFormat="1"/>
    <w:lsdException w:name="Body Text" w:uiPriority="0" w:semiHidden="0" w:unhideWhenUsed="0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0" w:semiHidden="0" w:unhideWhenUsed="0" w:qFormat="1"/>
    <w:lsdException w:name="Normal (Web)" w:qFormat="1"/>
    <w:lsdException w:name="Normal Table" w:qFormat="1"/>
    <w:lsdException w:name="Balloon Text" w:qFormat="1"/>
    <w:lsdException w:name="Table Grid" w:uiPriority="59" w:semiHidden="0" w:unhideWhenUsed="0"/>
    <w:lsdException w:name="List Paragraph" w:uiPriority="34" w:semiHidden="0" w:unhideWhenUsed="0" w:qFormat="1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036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3" w:customStyle="1">
    <w:name w:val="Heading 3"/>
    <w:basedOn w:val="Style19"/>
    <w:next w:val="Style20"/>
    <w:qFormat/>
    <w:rsid w:val="0097413d"/>
    <w:pPr>
      <w:tabs>
        <w:tab w:val="clear" w:pos="708"/>
        <w:tab w:val="left" w:pos="0" w:leader="none"/>
      </w:tabs>
      <w:spacing w:before="140" w:after="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Выделение"/>
    <w:basedOn w:val="DefaultParagraphFont"/>
    <w:qFormat/>
    <w:rsid w:val="0055036a"/>
    <w:rPr>
      <w:i/>
      <w:iCs/>
    </w:rPr>
  </w:style>
  <w:style w:type="character" w:styleId="Pagenumber">
    <w:name w:val="page number"/>
    <w:basedOn w:val="DefaultParagraphFont"/>
    <w:qFormat/>
    <w:rsid w:val="0055036a"/>
    <w:rPr>
      <w:rFonts w:cs="Times New Roman"/>
    </w:rPr>
  </w:style>
  <w:style w:type="character" w:styleId="Strong">
    <w:name w:val="Strong"/>
    <w:basedOn w:val="DefaultParagraphFont"/>
    <w:uiPriority w:val="22"/>
    <w:qFormat/>
    <w:rsid w:val="0055036a"/>
    <w:rPr>
      <w:b/>
      <w:bCs/>
    </w:rPr>
  </w:style>
  <w:style w:type="character" w:styleId="Style14" w:customStyle="1">
    <w:name w:val="Нижний колонтитул Знак"/>
    <w:basedOn w:val="DefaultParagraphFont"/>
    <w:qFormat/>
    <w:rsid w:val="0055036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ppleconvertedspace" w:customStyle="1">
    <w:name w:val="apple-converted-space"/>
    <w:basedOn w:val="DefaultParagraphFont"/>
    <w:qFormat/>
    <w:rsid w:val="0055036a"/>
    <w:rPr/>
  </w:style>
  <w:style w:type="character" w:styleId="Style15" w:customStyle="1">
    <w:name w:val="Основной текст Знак"/>
    <w:basedOn w:val="DefaultParagraphFont"/>
    <w:qFormat/>
    <w:rsid w:val="0055036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TextNPA" w:customStyle="1">
    <w:name w:val="Text NPA"/>
    <w:uiPriority w:val="99"/>
    <w:qFormat/>
    <w:rsid w:val="0055036a"/>
    <w:rPr>
      <w:rFonts w:ascii="Courier New" w:hAnsi="Courier New"/>
    </w:rPr>
  </w:style>
  <w:style w:type="character" w:styleId="ProList2" w:customStyle="1">
    <w:name w:val="Pro-List #2 Знак"/>
    <w:basedOn w:val="DefaultParagraphFont"/>
    <w:link w:val="ProList21"/>
    <w:uiPriority w:val="99"/>
    <w:qFormat/>
    <w:rsid w:val="0055036a"/>
    <w:rPr>
      <w:rFonts w:ascii="Georgia" w:hAnsi="Georgia" w:eastAsia="Times New Roman" w:cs="Times New Roman"/>
      <w:sz w:val="24"/>
      <w:szCs w:val="24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semiHidden/>
    <w:qFormat/>
    <w:rsid w:val="0055036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sid w:val="0055036a"/>
    <w:rPr>
      <w:rFonts w:ascii="Tahoma" w:hAnsi="Tahoma" w:eastAsia="Times New Roman" w:cs="Tahoma"/>
      <w:sz w:val="16"/>
      <w:szCs w:val="16"/>
      <w:lang w:eastAsia="ru-RU"/>
    </w:rPr>
  </w:style>
  <w:style w:type="character" w:styleId="Style18">
    <w:name w:val="Интернет-ссылка"/>
    <w:rPr>
      <w:color w:val="000080"/>
      <w:u w:val="single"/>
      <w:lang w:val="zxx" w:eastAsia="zxx" w:bidi="zxx"/>
    </w:rPr>
  </w:style>
  <w:style w:type="paragraph" w:styleId="Style19" w:customStyle="1">
    <w:name w:val="Заголовок"/>
    <w:basedOn w:val="Normal"/>
    <w:next w:val="Style20"/>
    <w:qFormat/>
    <w:rsid w:val="0055036a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link w:val="Style15"/>
    <w:qFormat/>
    <w:rsid w:val="0055036a"/>
    <w:pPr>
      <w:jc w:val="both"/>
    </w:pPr>
    <w:rPr/>
  </w:style>
  <w:style w:type="paragraph" w:styleId="Style21">
    <w:name w:val="List"/>
    <w:basedOn w:val="Style20"/>
    <w:rsid w:val="0055036a"/>
    <w:pPr/>
    <w:rPr>
      <w:rFonts w:cs="Arial"/>
    </w:rPr>
  </w:style>
  <w:style w:type="paragraph" w:styleId="Style22" w:customStyle="1">
    <w:name w:val="Caption"/>
    <w:basedOn w:val="Normal"/>
    <w:qFormat/>
    <w:rsid w:val="0055036a"/>
    <w:pPr>
      <w:suppressLineNumbers/>
      <w:spacing w:before="120" w:after="120"/>
    </w:pPr>
    <w:rPr>
      <w:rFonts w:cs="Arial"/>
      <w:i/>
      <w:iCs/>
    </w:rPr>
  </w:style>
  <w:style w:type="paragraph" w:styleId="Style23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Indexheading">
    <w:name w:val="index heading"/>
    <w:basedOn w:val="Normal"/>
    <w:qFormat/>
    <w:rsid w:val="0055036a"/>
    <w:pPr>
      <w:suppressLineNumbers/>
    </w:pPr>
    <w:rPr>
      <w:rFonts w:cs="Arial"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55036a"/>
    <w:pPr/>
    <w:rPr>
      <w:rFonts w:ascii="Tahoma" w:hAnsi="Tahoma" w:cs="Tahoma"/>
      <w:sz w:val="16"/>
      <w:szCs w:val="16"/>
    </w:rPr>
  </w:style>
  <w:style w:type="paragraph" w:styleId="Style24" w:customStyle="1">
    <w:name w:val="Колонтитул"/>
    <w:basedOn w:val="Normal"/>
    <w:qFormat/>
    <w:rsid w:val="0055036a"/>
    <w:pPr/>
    <w:rPr/>
  </w:style>
  <w:style w:type="paragraph" w:styleId="Style25" w:customStyle="1">
    <w:name w:val="Header"/>
    <w:basedOn w:val="Normal"/>
    <w:link w:val="Style16"/>
    <w:uiPriority w:val="99"/>
    <w:semiHidden/>
    <w:unhideWhenUsed/>
    <w:qFormat/>
    <w:rsid w:val="0055036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 w:customStyle="1">
    <w:name w:val="Footer"/>
    <w:basedOn w:val="Normal"/>
    <w:link w:val="Style14"/>
    <w:qFormat/>
    <w:rsid w:val="0055036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uiPriority w:val="99"/>
    <w:semiHidden/>
    <w:unhideWhenUsed/>
    <w:qFormat/>
    <w:rsid w:val="0055036a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val="en-US" w:eastAsia="zh-CN" w:bidi="ar-SA"/>
    </w:rPr>
  </w:style>
  <w:style w:type="paragraph" w:styleId="Tekstvpr" w:customStyle="1">
    <w:name w:val="tekstvpr"/>
    <w:basedOn w:val="Normal"/>
    <w:qFormat/>
    <w:rsid w:val="0055036a"/>
    <w:pPr>
      <w:spacing w:beforeAutospacing="1" w:afterAutospacing="1"/>
    </w:pPr>
    <w:rPr/>
  </w:style>
  <w:style w:type="paragraph" w:styleId="ProList21" w:customStyle="1">
    <w:name w:val="Pro-List #2"/>
    <w:basedOn w:val="Normal"/>
    <w:link w:val="ProList2"/>
    <w:uiPriority w:val="99"/>
    <w:qFormat/>
    <w:rsid w:val="0055036a"/>
    <w:pPr>
      <w:tabs>
        <w:tab w:val="clear" w:pos="708"/>
        <w:tab w:val="left" w:pos="2040" w:leader="none"/>
      </w:tabs>
      <w:spacing w:lineRule="auto" w:line="288" w:before="180" w:after="0"/>
      <w:ind w:left="2040" w:hanging="480"/>
      <w:jc w:val="both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55036a"/>
    <w:pPr>
      <w:spacing w:lineRule="auto" w:line="276" w:before="0" w:after="200"/>
      <w:ind w:left="720" w:hanging="0"/>
      <w:contextualSpacing/>
    </w:pPr>
    <w:rPr>
      <w:rFonts w:ascii="Calibri" w:hAnsi="Calibri" w:eastAsia="" w:cs="" w:asciiTheme="minorHAnsi" w:cstheme="minorBidi" w:eastAsiaTheme="minorEastAsia" w:hAnsiTheme="minorHAnsi"/>
      <w:sz w:val="22"/>
      <w:szCs w:val="22"/>
      <w:lang w:eastAsia="en-US"/>
    </w:rPr>
  </w:style>
  <w:style w:type="paragraph" w:styleId="Style27" w:customStyle="1">
    <w:name w:val="Содержимое врезки"/>
    <w:basedOn w:val="Normal"/>
    <w:qFormat/>
    <w:rsid w:val="0055036a"/>
    <w:pPr/>
    <w:rPr/>
  </w:style>
  <w:style w:type="paragraph" w:styleId="ConsPlusNormal" w:customStyle="1">
    <w:name w:val="ConsPlusNormal"/>
    <w:qFormat/>
    <w:rsid w:val="0097413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login.consultant.ru/link/?req=doc&amp;base=LAW&amp;n=528367&amp;dst=100348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00C85-7FDB-425E-A16F-50AAE4772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Application>LibreOffice/7.3.0.3$Windows_X86_64 LibreOffice_project/0f246aa12d0eee4a0f7adcefbf7c878fc2238db3</Application>
  <AppVersion>15.0000</AppVersion>
  <Pages>5</Pages>
  <Words>1151</Words>
  <Characters>7687</Characters>
  <CharactersWithSpaces>8900</CharactersWithSpaces>
  <Paragraphs>57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2025-11-14T11:08:00Z</dcterms:created>
  <dc:creator>Директор</dc:creator>
  <dc:description/>
  <dc:language>ru-RU</dc:language>
  <cp:lastModifiedBy/>
  <cp:lastPrinted>2026-07-22T14:08:13Z</cp:lastPrinted>
  <dcterms:modified xsi:type="dcterms:W3CDTF">2026-09-07T10:13:07Z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207500B3657A43A9BA084BA114133D2F_13</vt:lpwstr>
  </property>
  <property fmtid="{D5CDD505-2E9C-101B-9397-08002B2CF9AE}" pid="3" name="KSOProductBuildVer">
    <vt:lpwstr>1049-12.2.0.13215</vt:lpwstr>
  </property>
</Properties>
</file>